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4B6F22" w:rsidRPr="00A13323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A1332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B6F22" w:rsidRPr="00A13323" w:rsidRDefault="004B6F2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A13323">
              <w:rPr>
                <w:rFonts w:ascii="Arial" w:hAnsi="Arial" w:cs="Arial"/>
                <w:b/>
                <w:caps/>
                <w:sz w:val="24"/>
                <w:szCs w:val="20"/>
              </w:rPr>
              <w:t>Međunarodne financije I</w:t>
            </w:r>
          </w:p>
        </w:tc>
      </w:tr>
      <w:tr w:rsidR="004B6F22" w:rsidRPr="00A13323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EUE204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B6F22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Prof.dr.sc. Mario Pečarić</w:t>
            </w:r>
          </w:p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Doc. dr. sc.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B6F22" w:rsidRPr="00A13323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Doc. dr. sc. Josip Visković</w:t>
            </w:r>
          </w:p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6F22" w:rsidRPr="00A13323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6F22" w:rsidRPr="00A13323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6F22" w:rsidRPr="00A13323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B6F22" w:rsidRPr="00A13323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6F22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956A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56AA4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4B6F22" w:rsidRPr="00A13323" w:rsidTr="00C616C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B6F22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6F22" w:rsidRPr="00A13323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Upoznati studente sa institucijama, tržištima, instrumentima te politikama međunarodnih financija.</w:t>
            </w:r>
          </w:p>
        </w:tc>
      </w:tr>
      <w:tr w:rsidR="004B6F22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6F22" w:rsidRPr="00A13323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4B6F22" w:rsidRPr="00A13323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4B6F22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6F22" w:rsidRPr="00A13323" w:rsidRDefault="004B6F2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4B6F22" w:rsidRPr="00A13323" w:rsidRDefault="004B6F22" w:rsidP="00C616CA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Identificirati, analizirati i povezati temeljne kategorije međunarodnih financija - institucije, tržišta, instrumente i politike.</w:t>
            </w:r>
          </w:p>
          <w:p w:rsidR="004B6F22" w:rsidRPr="00A13323" w:rsidRDefault="004B6F2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4B6F22" w:rsidRPr="00A13323" w:rsidRDefault="004B6F2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4B6F22" w:rsidRPr="00A13323" w:rsidRDefault="004B6F22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6708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Analizirati </w:t>
            </w:r>
            <w:r w:rsidR="00A80C2B" w:rsidRPr="00F6708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funkcije međunarodnih financijsk</w:t>
            </w:r>
            <w:r w:rsidR="000C73C4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ih</w:t>
            </w:r>
            <w:r w:rsidR="00A80C2B" w:rsidRPr="00F6708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tržišta</w:t>
            </w:r>
            <w:r w:rsidRPr="00F6708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="00F6708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i komentirati promjene deviznog tečaja </w:t>
            </w: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(6. razina).</w:t>
            </w:r>
          </w:p>
          <w:p w:rsidR="004B6F22" w:rsidRPr="00A13323" w:rsidRDefault="004B6F22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Kategorizirati, razlikovati i komentirati bilance plaćana i politike njihovog uravnoteženja (6.razina).</w:t>
            </w:r>
          </w:p>
          <w:p w:rsidR="004B6F22" w:rsidRPr="00A13323" w:rsidRDefault="00F67085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Kategorizirati i analizirati </w:t>
            </w:r>
            <w:r w:rsidR="004B6F22" w:rsidRPr="00A13323">
              <w:rPr>
                <w:rFonts w:ascii="Arial" w:eastAsia="Times New Roman" w:hAnsi="Arial" w:cs="Arial"/>
                <w:sz w:val="20"/>
                <w:szCs w:val="20"/>
              </w:rPr>
              <w:t xml:space="preserve">režime deviznog tečaja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te </w:t>
            </w:r>
            <w:r w:rsidRPr="00F6708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komentirati </w:t>
            </w:r>
            <w:r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teorijski </w:t>
            </w:r>
            <w:r w:rsidRPr="00F6708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očekivano kretanje deviznog tečaja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4B6F22" w:rsidRPr="00A13323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:rsidR="004B6F22" w:rsidRPr="00A13323" w:rsidRDefault="00F67085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Komentirati ustroj i funkcije</w:t>
            </w:r>
            <w:r w:rsidR="004B6F22" w:rsidRPr="00A13323">
              <w:rPr>
                <w:rFonts w:ascii="Arial" w:eastAsia="Times New Roman" w:hAnsi="Arial" w:cs="Arial"/>
                <w:sz w:val="20"/>
                <w:szCs w:val="20"/>
              </w:rPr>
              <w:t xml:space="preserve"> međunarodnih financijskih institucija (6.razina).</w:t>
            </w:r>
          </w:p>
          <w:p w:rsidR="004B6F22" w:rsidRDefault="004B6F22" w:rsidP="00CA4D1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Raščlaniti i komentirati vrste</w:t>
            </w:r>
            <w:r w:rsidRPr="004F6EF0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="004F6EF0" w:rsidRPr="004F6EF0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i učinke </w:t>
            </w:r>
            <w:r w:rsidR="00F67085" w:rsidRPr="00F6708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međunarodnog kretanja kapitala</w:t>
            </w:r>
            <w:r w:rsidRPr="00F6708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A13323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:rsidR="00CA4D1C" w:rsidRPr="00CA4D1C" w:rsidRDefault="00CA4D1C" w:rsidP="00CA4D1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B6F22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250"/>
              <w:gridCol w:w="677"/>
              <w:gridCol w:w="2824"/>
              <w:gridCol w:w="677"/>
            </w:tblGrid>
            <w:tr w:rsidR="00DC7089" w:rsidRPr="00A13323" w:rsidTr="00C616CA">
              <w:trPr>
                <w:gridAfter w:val="1"/>
              </w:trPr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DC7089" w:rsidRPr="00A13323" w:rsidTr="00C616CA"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133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673F5A" w:rsidRDefault="004B6F22" w:rsidP="001B57C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 xml:space="preserve">Uvod u međunarodne financije – </w:t>
                  </w:r>
                  <w:r w:rsidR="001B57C3">
                    <w:rPr>
                      <w:rFonts w:ascii="Arial" w:hAnsi="Arial" w:cs="Arial"/>
                      <w:sz w:val="18"/>
                      <w:szCs w:val="18"/>
                    </w:rPr>
                    <w:t>devizni tečaj</w:t>
                  </w:r>
                </w:p>
              </w:tc>
              <w:tc>
                <w:tcPr>
                  <w:tcW w:w="0" w:type="auto"/>
                </w:tcPr>
                <w:p w:rsidR="004B6F22" w:rsidRPr="00673F5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673F5A" w:rsidRDefault="003C4D32" w:rsidP="001B57C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>Uvodne vježbe – dogovor o načinu rada i obvezama studenata na kolegiju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673F5A" w:rsidRDefault="001B57C3" w:rsidP="00145D4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1B57C3">
                    <w:rPr>
                      <w:rFonts w:ascii="Arial" w:hAnsi="Arial" w:cs="Arial"/>
                      <w:sz w:val="18"/>
                      <w:szCs w:val="18"/>
                    </w:rPr>
                    <w:t>Devizno tržište</w:t>
                  </w:r>
                </w:p>
              </w:tc>
              <w:tc>
                <w:tcPr>
                  <w:tcW w:w="0" w:type="auto"/>
                </w:tcPr>
                <w:p w:rsidR="004B6F22" w:rsidRPr="00673F5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673F5A" w:rsidRDefault="001B57C3" w:rsidP="00145D4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1B57C3">
                    <w:rPr>
                      <w:rFonts w:ascii="Arial" w:hAnsi="Arial" w:cs="Arial"/>
                      <w:sz w:val="18"/>
                      <w:szCs w:val="18"/>
                    </w:rPr>
                    <w:t>Vrste i instrumenti deviznog tržišta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673F5A" w:rsidRDefault="001B57C3" w:rsidP="00C616C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Međunarodna </w:t>
                  </w:r>
                  <w:r w:rsidRPr="00DC7089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arbitraža i paritet kamatne stope</w:t>
                  </w:r>
                </w:p>
              </w:tc>
              <w:tc>
                <w:tcPr>
                  <w:tcW w:w="0" w:type="auto"/>
                </w:tcPr>
                <w:p w:rsidR="004B6F22" w:rsidRPr="00673F5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673F5A" w:rsidRDefault="001B57C3" w:rsidP="00C616C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Međunarodna arbitraža i paritet kamatne stope – studija slučaja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673F5A" w:rsidRDefault="000B0E9B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>Bilanca plaćanja</w:t>
                  </w:r>
                </w:p>
              </w:tc>
              <w:tc>
                <w:tcPr>
                  <w:tcW w:w="0" w:type="auto"/>
                </w:tcPr>
                <w:p w:rsidR="004B6F22" w:rsidRPr="00673F5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673F5A" w:rsidRDefault="000B0E9B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>Metodologija bilance plaćanja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673F5A" w:rsidRDefault="000B0E9B" w:rsidP="0042732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 xml:space="preserve">Teorije bilance plaćanja, metode </w:t>
                  </w:r>
                  <w:r w:rsidR="00427322">
                    <w:rPr>
                      <w:rFonts w:ascii="Arial" w:hAnsi="Arial" w:cs="Arial"/>
                      <w:sz w:val="18"/>
                      <w:szCs w:val="18"/>
                    </w:rPr>
                    <w:t>uravnoteženja</w:t>
                  </w: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 xml:space="preserve"> bilance plaćanja</w:t>
                  </w:r>
                </w:p>
              </w:tc>
              <w:tc>
                <w:tcPr>
                  <w:tcW w:w="0" w:type="auto"/>
                </w:tcPr>
                <w:p w:rsidR="004B6F22" w:rsidRPr="00673F5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673F5A" w:rsidRDefault="000B0E9B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>Upravljanje međunarodnim pričuvama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673F5A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Režimi</w:t>
                  </w:r>
                  <w:r w:rsidR="00673F5A" w:rsidRPr="00673F5A">
                    <w:rPr>
                      <w:rFonts w:ascii="Arial" w:hAnsi="Arial" w:cs="Arial"/>
                      <w:sz w:val="18"/>
                      <w:szCs w:val="18"/>
                    </w:rPr>
                    <w:t xml:space="preserve"> deviznog tečaja</w:t>
                  </w:r>
                </w:p>
              </w:tc>
              <w:tc>
                <w:tcPr>
                  <w:tcW w:w="0" w:type="auto"/>
                </w:tcPr>
                <w:p w:rsidR="004B6F22" w:rsidRPr="00673F5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673F5A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B57C3">
                    <w:rPr>
                      <w:rFonts w:ascii="Arial" w:hAnsi="Arial" w:cs="Arial"/>
                      <w:sz w:val="18"/>
                      <w:szCs w:val="18"/>
                    </w:rPr>
                    <w:t>ERM II i EMU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A80C2B" w:rsidRDefault="001B57C3" w:rsidP="00C616C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Režimi</w:t>
                  </w: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 xml:space="preserve"> deviznog tečaja</w:t>
                  </w:r>
                </w:p>
              </w:tc>
              <w:tc>
                <w:tcPr>
                  <w:tcW w:w="0" w:type="auto"/>
                </w:tcPr>
                <w:p w:rsidR="004B6F22" w:rsidRPr="00A80C2B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GB"/>
                    </w:rPr>
                  </w:pPr>
                  <w:r w:rsidRPr="001B57C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A80C2B" w:rsidRDefault="001B57C3" w:rsidP="00C616CA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Kolokvij 1.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673F5A" w:rsidRPr="00A13323" w:rsidTr="00C616CA">
              <w:tc>
                <w:tcPr>
                  <w:tcW w:w="0" w:type="auto"/>
                  <w:vAlign w:val="center"/>
                </w:tcPr>
                <w:p w:rsidR="00673F5A" w:rsidRPr="00673F5A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80C2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PPP teorija i međunarodni </w:t>
                  </w:r>
                  <w:proofErr w:type="spellStart"/>
                  <w:r w:rsidRPr="00A80C2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Fisherov</w:t>
                  </w:r>
                  <w:proofErr w:type="spellEnd"/>
                  <w:r w:rsidRPr="00A80C2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efekt</w:t>
                  </w:r>
                </w:p>
              </w:tc>
              <w:tc>
                <w:tcPr>
                  <w:tcW w:w="0" w:type="auto"/>
                </w:tcPr>
                <w:p w:rsidR="00673F5A" w:rsidRPr="00673F5A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673F5A" w:rsidRPr="00673F5A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80C2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PPP teorija i međunarodni </w:t>
                  </w:r>
                  <w:proofErr w:type="spellStart"/>
                  <w:r w:rsidRPr="00A80C2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Fisherov</w:t>
                  </w:r>
                  <w:proofErr w:type="spellEnd"/>
                  <w:r w:rsidRPr="00A80C2B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efekt – studija slučaja</w:t>
                  </w:r>
                </w:p>
              </w:tc>
              <w:tc>
                <w:tcPr>
                  <w:tcW w:w="0" w:type="auto"/>
                </w:tcPr>
                <w:p w:rsidR="00673F5A" w:rsidRPr="00A13323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673F5A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>Međunarodne financijske institucije – MMF, Grupa Svjetske banke</w:t>
                  </w:r>
                </w:p>
              </w:tc>
              <w:tc>
                <w:tcPr>
                  <w:tcW w:w="0" w:type="auto"/>
                </w:tcPr>
                <w:p w:rsidR="004B6F22" w:rsidRPr="00673F5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673F5A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Funkcije MMF-a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A13323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Institucije multilateralnog kretanja kapitala- grupa svjetske banke i regionalne razvojne banke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A13323" w:rsidRDefault="00A80C2B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>Rejting agencije i kreditni rejting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A13323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Međunarodno kretanje kapitala- pojam, oblici, teorije kretanja kapitala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A13323" w:rsidRDefault="00673F5A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sz w:val="18"/>
                      <w:szCs w:val="18"/>
                    </w:rPr>
                    <w:t>Međunarodno kretanje kapitala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A13323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Međunarodna financijska tržišta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A13323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73F5A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Međunarodna financijska tržišta – studija slučaja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A13323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Financijska globalizacija i liberalizacija kapitalnih tijekova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A13323" w:rsidRDefault="00673F5A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</w:t>
                  </w: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apitalne kontrole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A13323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Vanjski dug</w:t>
                  </w:r>
                  <w:r w:rsidR="00A80C2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- karakteristike, metodologija praćenja, značaj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A13323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Analiza vanjskog duga RH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DC7089" w:rsidRPr="00A13323" w:rsidTr="00C616CA">
              <w:tc>
                <w:tcPr>
                  <w:tcW w:w="0" w:type="auto"/>
                  <w:vAlign w:val="center"/>
                </w:tcPr>
                <w:p w:rsidR="004B6F22" w:rsidRPr="00A13323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4B6F22" w:rsidRPr="00A13323" w:rsidRDefault="00A80C2B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Kolokvij 2.</w:t>
                  </w:r>
                </w:p>
              </w:tc>
              <w:tc>
                <w:tcPr>
                  <w:tcW w:w="0" w:type="auto"/>
                </w:tcPr>
                <w:p w:rsidR="004B6F22" w:rsidRPr="00A13323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133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:rsidR="004B6F22" w:rsidRPr="00A13323" w:rsidRDefault="004B6F2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6F22" w:rsidRPr="00A13323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B6F22" w:rsidRPr="00A13323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4B6F22" w:rsidRPr="00A13323" w:rsidRDefault="004273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27322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4B6F2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B6F22" w:rsidRPr="00A13323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1B5F"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1B5F" w:rsidRPr="00A13323">
              <w:rPr>
                <w:rFonts w:ascii="Arial" w:hAnsi="Arial" w:cs="Arial"/>
                <w:sz w:val="20"/>
                <w:szCs w:val="20"/>
              </w:rPr>
            </w:r>
            <w:r w:rsidR="009E1B5F"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9E1B5F"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133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B6F22" w:rsidRPr="00A13323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B6F22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956A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D1C5E">
              <w:rPr>
                <w:rFonts w:ascii="Arial" w:hAnsi="Arial" w:cs="Arial"/>
                <w:sz w:val="20"/>
                <w:szCs w:val="20"/>
              </w:rPr>
              <w:t xml:space="preserve">Da bi ostvario pravo na potpis redovni student mora pohađati 70% ukupne nastave. </w:t>
            </w:r>
            <w:r w:rsidRPr="00956AA4">
              <w:rPr>
                <w:rFonts w:ascii="Arial" w:hAnsi="Arial" w:cs="Arial"/>
                <w:color w:val="FF0000"/>
                <w:sz w:val="20"/>
                <w:szCs w:val="20"/>
              </w:rPr>
              <w:t>Uz prisustvovanje, aktivno sudjelovanje u nastavi pretpostavlja i sudjelovanje u studijama slučajeva i interaktivnim raspravama.</w:t>
            </w:r>
          </w:p>
        </w:tc>
      </w:tr>
      <w:tr w:rsidR="004B6F22" w:rsidRPr="00A13323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700D1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700D1" w:rsidRPr="00A13323" w:rsidRDefault="002700D1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700D1" w:rsidRPr="00A13323" w:rsidRDefault="002700D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700D1" w:rsidRPr="00A13323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700D1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700D1" w:rsidRPr="00A13323" w:rsidRDefault="002700D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700D1" w:rsidRPr="00A13323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700D1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700D1" w:rsidRPr="006E740B" w:rsidRDefault="002700D1" w:rsidP="005427E4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6E740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700D1" w:rsidRPr="006E740B" w:rsidRDefault="002700D1" w:rsidP="004F6EF0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6E740B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1**</w:t>
            </w:r>
          </w:p>
        </w:tc>
      </w:tr>
      <w:tr w:rsidR="004B6F22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6F2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B6F22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B6F22" w:rsidRPr="003C4D32" w:rsidRDefault="004F6EF0" w:rsidP="00C616CA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4</w:t>
            </w:r>
            <w:r w:rsidR="004B6F22" w:rsidRPr="003C4D32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B6F22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6F22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6F22" w:rsidRPr="00A13323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3C4D32" w:rsidRDefault="004F6EF0" w:rsidP="004F6EF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6F22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B6F22" w:rsidRPr="00A13323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B6F22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56AA4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:rsidR="00956AA4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C4D32">
              <w:rPr>
                <w:rFonts w:ascii="Arial" w:hAnsi="Arial" w:cs="Arial"/>
                <w:color w:val="FF0000"/>
                <w:sz w:val="20"/>
                <w:szCs w:val="20"/>
              </w:rPr>
              <w:t>** Na pojedinim vježbama studenti rješavaju studije slučaja vezane uz predavanja, prema gore navedenom rasporedu</w:t>
            </w:r>
          </w:p>
          <w:p w:rsidR="00956AA4" w:rsidRDefault="004B6F22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  <w:r w:rsidR="00956AA4">
              <w:rPr>
                <w:rFonts w:ascii="Arial" w:hAnsi="Arial" w:cs="Arial"/>
                <w:sz w:val="20"/>
                <w:szCs w:val="20"/>
              </w:rPr>
              <w:t xml:space="preserve"> Kolokviji </w:t>
            </w:r>
            <w:r w:rsidR="00956AA4" w:rsidRPr="003745F8">
              <w:rPr>
                <w:rFonts w:ascii="Arial" w:hAnsi="Arial" w:cs="Arial"/>
                <w:sz w:val="20"/>
                <w:szCs w:val="20"/>
              </w:rPr>
              <w:t>nos</w:t>
            </w:r>
            <w:r w:rsidR="00956AA4">
              <w:rPr>
                <w:rFonts w:ascii="Arial" w:hAnsi="Arial" w:cs="Arial"/>
                <w:sz w:val="20"/>
                <w:szCs w:val="20"/>
              </w:rPr>
              <w:t>e</w:t>
            </w:r>
            <w:r w:rsidR="00956AA4"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6AA4">
              <w:rPr>
                <w:rFonts w:ascii="Arial" w:hAnsi="Arial" w:cs="Arial"/>
                <w:sz w:val="20"/>
                <w:szCs w:val="20"/>
              </w:rPr>
              <w:t>80% od ukupne ocjene, dok studije slučaja no</w:t>
            </w:r>
            <w:r w:rsidR="00956AA4" w:rsidRPr="003745F8">
              <w:rPr>
                <w:rFonts w:ascii="Arial" w:hAnsi="Arial" w:cs="Arial"/>
                <w:sz w:val="20"/>
                <w:szCs w:val="20"/>
              </w:rPr>
              <w:t>s</w:t>
            </w:r>
            <w:r w:rsidR="00956AA4">
              <w:rPr>
                <w:rFonts w:ascii="Arial" w:hAnsi="Arial" w:cs="Arial"/>
                <w:sz w:val="20"/>
                <w:szCs w:val="20"/>
              </w:rPr>
              <w:t>e</w:t>
            </w:r>
            <w:r w:rsidR="00956AA4"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6AA4">
              <w:rPr>
                <w:rFonts w:ascii="Arial" w:hAnsi="Arial" w:cs="Arial"/>
                <w:sz w:val="20"/>
                <w:szCs w:val="20"/>
              </w:rPr>
              <w:t>20</w:t>
            </w:r>
            <w:r w:rsidR="00956AA4" w:rsidRPr="003745F8">
              <w:rPr>
                <w:rFonts w:ascii="Arial" w:hAnsi="Arial" w:cs="Arial"/>
                <w:sz w:val="20"/>
                <w:szCs w:val="20"/>
              </w:rPr>
              <w:t>% od ukupne ocjene.</w:t>
            </w:r>
          </w:p>
          <w:p w:rsidR="00956AA4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956AA4" w:rsidRPr="007F27FF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Bodovni pragovi </w:t>
            </w:r>
            <w:r w:rsidR="00F26769">
              <w:rPr>
                <w:rFonts w:ascii="Arial" w:hAnsi="Arial" w:cs="Arial"/>
                <w:color w:val="FF0000"/>
                <w:sz w:val="20"/>
                <w:szCs w:val="20"/>
              </w:rPr>
              <w:t xml:space="preserve">(u %)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i odgovarajuće ocjene</w:t>
            </w:r>
            <w:r w:rsidR="007C7C32">
              <w:rPr>
                <w:rFonts w:ascii="Arial" w:hAnsi="Arial" w:cs="Arial"/>
                <w:color w:val="FF0000"/>
                <w:sz w:val="20"/>
                <w:szCs w:val="20"/>
              </w:rPr>
              <w:t xml:space="preserve"> kolegija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956AA4" w:rsidRPr="007F27FF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0-50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nedovoljan (1)</w:t>
            </w:r>
          </w:p>
          <w:p w:rsidR="00956AA4" w:rsidRPr="007F27FF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-65    dovoljan (2)</w:t>
            </w:r>
          </w:p>
          <w:p w:rsidR="00956AA4" w:rsidRPr="007F27FF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956AA4" w:rsidRPr="007F27FF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956AA4" w:rsidRPr="007F27FF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956AA4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AA4" w:rsidRPr="003745F8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:rsidR="00956AA4" w:rsidRPr="00394A09" w:rsidRDefault="00956AA4" w:rsidP="00394A0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A09">
              <w:rPr>
                <w:rFonts w:ascii="Arial" w:hAnsi="Arial" w:cs="Arial"/>
                <w:sz w:val="20"/>
                <w:szCs w:val="20"/>
              </w:rPr>
              <w:t xml:space="preserve">u prosjeku ostvario prolaznu ocjenu iz pisanih provjera znanja </w:t>
            </w:r>
            <w:r w:rsidRPr="00394A09">
              <w:rPr>
                <w:rFonts w:ascii="Arial" w:hAnsi="Arial" w:cs="Arial"/>
                <w:color w:val="FF0000"/>
                <w:sz w:val="20"/>
                <w:szCs w:val="20"/>
              </w:rPr>
              <w:t xml:space="preserve">(minimalno 50% iz </w:t>
            </w:r>
            <w:r w:rsidR="00F26769">
              <w:rPr>
                <w:rFonts w:ascii="Arial" w:hAnsi="Arial" w:cs="Arial"/>
                <w:color w:val="FF0000"/>
                <w:sz w:val="20"/>
                <w:szCs w:val="20"/>
              </w:rPr>
              <w:t>svakog</w:t>
            </w:r>
            <w:r w:rsidRPr="00394A09">
              <w:rPr>
                <w:rFonts w:ascii="Arial" w:hAnsi="Arial" w:cs="Arial"/>
                <w:color w:val="FF0000"/>
                <w:sz w:val="20"/>
                <w:szCs w:val="20"/>
              </w:rPr>
              <w:t xml:space="preserve"> kolokvija</w:t>
            </w:r>
            <w:r w:rsidR="00AD39BE">
              <w:rPr>
                <w:rFonts w:ascii="Arial" w:hAnsi="Arial" w:cs="Arial"/>
                <w:color w:val="FF0000"/>
                <w:sz w:val="20"/>
                <w:szCs w:val="20"/>
              </w:rPr>
              <w:t xml:space="preserve"> ili pisanog završnog ispita</w:t>
            </w:r>
            <w:r w:rsidRPr="00394A09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="00394A09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956AA4" w:rsidRPr="00394A09" w:rsidRDefault="00956AA4" w:rsidP="00394A0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4A09">
              <w:rPr>
                <w:rFonts w:ascii="Arial" w:hAnsi="Arial" w:cs="Arial"/>
                <w:sz w:val="20"/>
                <w:szCs w:val="20"/>
              </w:rPr>
              <w:t>aktivno sudjelovao u studijama slučaja</w:t>
            </w:r>
            <w:r w:rsidR="00394A0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26769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956AA4" w:rsidRPr="007F27FF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</w:t>
            </w:r>
            <w:r w:rsidR="00956AA4" w:rsidRPr="007F27FF">
              <w:rPr>
                <w:rFonts w:ascii="Arial" w:hAnsi="Arial" w:cs="Arial"/>
                <w:color w:val="FF0000"/>
                <w:sz w:val="20"/>
                <w:szCs w:val="20"/>
              </w:rPr>
              <w:t>onačna ocjena se formira kao zbroj:</w:t>
            </w:r>
          </w:p>
          <w:p w:rsidR="00956AA4" w:rsidRPr="00394A09" w:rsidRDefault="00394A09" w:rsidP="00394A0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1) </w:t>
            </w:r>
            <w:r w:rsidR="00F26769" w:rsidRPr="00F26769">
              <w:rPr>
                <w:rFonts w:ascii="Arial" w:hAnsi="Arial" w:cs="Arial"/>
                <w:color w:val="FF0000"/>
                <w:sz w:val="20"/>
                <w:szCs w:val="20"/>
              </w:rPr>
              <w:t>ukupno ostvarenih bodova na pis</w:t>
            </w:r>
            <w:r w:rsidR="00F26769">
              <w:rPr>
                <w:rFonts w:ascii="Arial" w:hAnsi="Arial" w:cs="Arial"/>
                <w:color w:val="FF0000"/>
                <w:sz w:val="20"/>
                <w:szCs w:val="20"/>
              </w:rPr>
              <w:t>anim provjerama znanja umnoženih</w:t>
            </w:r>
            <w:r w:rsidR="00956AA4" w:rsidRPr="00394A09">
              <w:rPr>
                <w:rFonts w:ascii="Arial" w:hAnsi="Arial" w:cs="Arial"/>
                <w:color w:val="FF0000"/>
                <w:sz w:val="20"/>
                <w:szCs w:val="20"/>
              </w:rPr>
              <w:t xml:space="preserve"> s ponderom od 0.8 te </w:t>
            </w:r>
          </w:p>
          <w:p w:rsidR="00956AA4" w:rsidRPr="00394A09" w:rsidRDefault="00394A09" w:rsidP="00394A0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2) </w:t>
            </w:r>
            <w:r w:rsidR="00F26769" w:rsidRPr="00F26769">
              <w:rPr>
                <w:rFonts w:ascii="Arial" w:hAnsi="Arial" w:cs="Arial"/>
                <w:color w:val="FF0000"/>
                <w:sz w:val="20"/>
                <w:szCs w:val="20"/>
              </w:rPr>
              <w:t xml:space="preserve">ukupno ostvarenih bodova iz studija slučaja umnoženih </w:t>
            </w:r>
            <w:r w:rsidR="00956AA4" w:rsidRPr="00394A09">
              <w:rPr>
                <w:rFonts w:ascii="Arial" w:hAnsi="Arial" w:cs="Arial"/>
                <w:color w:val="FF0000"/>
                <w:sz w:val="20"/>
                <w:szCs w:val="20"/>
              </w:rPr>
              <w:t>s ponderom 0.2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956AA4" w:rsidRPr="003745F8" w:rsidRDefault="00956AA4" w:rsidP="00956A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56AA4" w:rsidRPr="00316710" w:rsidRDefault="00956A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Ukoliko student 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ne zadovolji na </w:t>
            </w:r>
            <w:r>
              <w:rPr>
                <w:rFonts w:ascii="Arial" w:hAnsi="Arial" w:cs="Arial"/>
                <w:sz w:val="20"/>
                <w:szCs w:val="20"/>
              </w:rPr>
              <w:t>pisanim provjerama dužan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je polagati završni ispit. Završni ispit može biti organiziran na pisani i/ili usmeni način.</w:t>
            </w:r>
          </w:p>
        </w:tc>
      </w:tr>
      <w:tr w:rsidR="004B6F22" w:rsidRPr="00A13323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B6F22" w:rsidRPr="00A13323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16710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6710" w:rsidRPr="00A13323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6710" w:rsidRPr="00A13323" w:rsidRDefault="00316710" w:rsidP="00C616CA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316710"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  <w:t>Autorizirana predavanja i nastavni materijali na Moodle stranicama kolegija</w:t>
            </w:r>
            <w:r>
              <w:rPr>
                <w:rFonts w:ascii="Arial" w:hAnsi="Arial" w:cs="Arial"/>
                <w:noProof/>
                <w:color w:val="FF0000"/>
                <w:sz w:val="18"/>
                <w:szCs w:val="18"/>
                <w:lang w:eastAsia="hr-HR"/>
              </w:rPr>
              <w:t xml:space="preserve"> (skripta i power point)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6710" w:rsidRPr="00316710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  <w:p w:rsidR="00316710" w:rsidRPr="00316710" w:rsidRDefault="00316710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6710" w:rsidRPr="00316710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316710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6710" w:rsidRPr="00A13323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6710" w:rsidRPr="00A13323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proofErr w:type="spellStart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>Madura</w:t>
            </w:r>
            <w:proofErr w:type="spellEnd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 xml:space="preserve">, J.: </w:t>
            </w:r>
            <w:proofErr w:type="spellStart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>International</w:t>
            </w:r>
            <w:proofErr w:type="spellEnd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>Corporate</w:t>
            </w:r>
            <w:proofErr w:type="spellEnd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>Finance</w:t>
            </w:r>
            <w:proofErr w:type="spellEnd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 xml:space="preserve">, 2008., Thomson </w:t>
            </w:r>
            <w:proofErr w:type="spellStart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>South</w:t>
            </w:r>
            <w:proofErr w:type="spellEnd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>-</w:t>
            </w:r>
            <w:proofErr w:type="spellStart"/>
            <w:r w:rsidRPr="004F6EF0">
              <w:rPr>
                <w:rFonts w:ascii="Arial" w:hAnsi="Arial" w:cs="Arial"/>
                <w:color w:val="FF0000"/>
                <w:sz w:val="18"/>
                <w:szCs w:val="18"/>
              </w:rPr>
              <w:t>Western</w:t>
            </w:r>
            <w:proofErr w:type="spellEnd"/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6710" w:rsidRPr="00A13323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7418F">
              <w:rPr>
                <w:rFonts w:ascii="Arial" w:hAnsi="Arial" w:cs="Arial"/>
                <w:color w:val="FF0000"/>
                <w:sz w:val="18"/>
                <w:szCs w:val="18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6710" w:rsidRPr="00A13323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6710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6710" w:rsidRPr="00A13323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6710" w:rsidRPr="004F6EF0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6710" w:rsidRPr="00C7418F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6710" w:rsidRPr="00A13323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6710" w:rsidRPr="00A13323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6710" w:rsidRPr="00A13323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6710" w:rsidRPr="004F6EF0" w:rsidRDefault="00316710" w:rsidP="0042732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16710" w:rsidRPr="00A13323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6710" w:rsidRPr="00A13323" w:rsidRDefault="009E1B5F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3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6710" w:rsidRPr="00A1332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8"/>
                <w:szCs w:val="18"/>
              </w:rPr>
            </w:r>
            <w:r w:rsidRPr="00A1332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16710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A1332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A133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16710" w:rsidRPr="00A13323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6710" w:rsidRPr="00A13323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316710" w:rsidRPr="00A13323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6710" w:rsidRPr="007F27FF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noProof/>
                <w:color w:val="FF0000"/>
                <w:sz w:val="20"/>
                <w:szCs w:val="20"/>
              </w:rPr>
              <w:t>Udžbenici i knjige:</w:t>
            </w:r>
          </w:p>
          <w:p w:rsidR="00316710" w:rsidRPr="007F27FF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</w:p>
          <w:p w:rsidR="00316710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316710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 xml:space="preserve">Lovrinović, I.: Globalne </w:t>
            </w:r>
            <w:r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financije, Accent, 2015., Zagreb</w:t>
            </w:r>
          </w:p>
          <w:p w:rsidR="00316710" w:rsidRPr="00316710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316710">
              <w:rPr>
                <w:rFonts w:ascii="Arial" w:hAnsi="Arial" w:cs="Arial"/>
                <w:noProof/>
                <w:sz w:val="20"/>
                <w:szCs w:val="20"/>
              </w:rPr>
              <w:t>Copeland, L.: Exchange Rates and International Finance, Prentice Hall, 2008.</w:t>
            </w:r>
          </w:p>
          <w:p w:rsidR="00316710" w:rsidRPr="00316710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316710">
              <w:rPr>
                <w:rFonts w:ascii="Arial" w:hAnsi="Arial" w:cs="Arial"/>
                <w:noProof/>
                <w:sz w:val="20"/>
                <w:szCs w:val="20"/>
              </w:rPr>
              <w:t>Krugman, P.R.. Obstfeld, M.: Međunarodna ekonomija, VII izdanje, MATE 2009.</w:t>
            </w:r>
          </w:p>
          <w:p w:rsidR="00316710" w:rsidRPr="00316710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316710">
              <w:rPr>
                <w:rFonts w:ascii="Arial" w:hAnsi="Arial" w:cs="Arial"/>
                <w:noProof/>
                <w:sz w:val="20"/>
                <w:szCs w:val="20"/>
              </w:rPr>
              <w:t>Miles, D., Scott, A., Breedon, F.: Macroeconomics – Understanding the Global Economy, John Wiley and Sons LtD 2012.</w:t>
            </w:r>
          </w:p>
          <w:p w:rsidR="00316710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316710" w:rsidRPr="007F27FF" w:rsidRDefault="00542EE6" w:rsidP="00316710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i/>
                <w:color w:val="FF0000"/>
                <w:sz w:val="20"/>
                <w:szCs w:val="20"/>
                <w:lang w:eastAsia="hr-HR"/>
              </w:rPr>
              <w:t>Članci:</w:t>
            </w:r>
          </w:p>
          <w:p w:rsidR="00316710" w:rsidRPr="007F27FF" w:rsidRDefault="00316710" w:rsidP="0031671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316710" w:rsidRDefault="00CA4D1C" w:rsidP="0031671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Visković, J.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(2013.)</w:t>
            </w:r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: 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Determinants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sovereign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credit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rating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and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credit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rating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agencies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faults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,</w:t>
            </w:r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Sarajevo </w:t>
            </w:r>
            <w:proofErr w:type="spellStart"/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Business</w:t>
            </w:r>
            <w:proofErr w:type="spellEnd"/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and</w:t>
            </w:r>
            <w:proofErr w:type="spellEnd"/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Economics</w:t>
            </w:r>
            <w:proofErr w:type="spellEnd"/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Review</w:t>
            </w:r>
            <w:proofErr w:type="spellEnd"/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Volume</w:t>
            </w:r>
            <w:proofErr w:type="spellEnd"/>
            <w:r w:rsidRPr="00CA4D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33., ISSN 1968-5473,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Ekonomski fakultet u Sarajevu</w:t>
            </w:r>
          </w:p>
          <w:p w:rsidR="00F26769" w:rsidRDefault="00F26769" w:rsidP="0031671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92591C" w:rsidRDefault="0092591C" w:rsidP="0031671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Visković, J.: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Appropriateness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International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Reserves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in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CEE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Countries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and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Their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Role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During</w:t>
            </w:r>
            <w:proofErr w:type="spellEnd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 xml:space="preserve"> Financial </w:t>
            </w:r>
            <w:proofErr w:type="spellStart"/>
            <w:r w:rsidRPr="000B7540">
              <w:rPr>
                <w:rFonts w:ascii="Arial" w:hAnsi="Arial" w:cs="Arial"/>
                <w:b/>
                <w:color w:val="FF0000"/>
                <w:sz w:val="20"/>
                <w:szCs w:val="20"/>
                <w:lang w:eastAsia="hr-HR"/>
              </w:rPr>
              <w:t>Crises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Proceedings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5th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International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Conference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School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Economics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and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Business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Sarajevo 2010 „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Economic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Development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Perspectives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SEE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Region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in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Global </w:t>
            </w:r>
            <w:proofErr w:type="spellStart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Context</w:t>
            </w:r>
            <w:proofErr w:type="spellEnd"/>
            <w:r w:rsidRPr="0092591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”,</w:t>
            </w:r>
          </w:p>
          <w:p w:rsidR="00CA4D1C" w:rsidRPr="007F27FF" w:rsidRDefault="00CA4D1C" w:rsidP="0031671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316710" w:rsidRPr="007F27FF" w:rsidRDefault="00316710" w:rsidP="00316710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i/>
                <w:color w:val="FF0000"/>
                <w:sz w:val="20"/>
                <w:szCs w:val="20"/>
              </w:rPr>
              <w:t>Ostali izvori:</w:t>
            </w:r>
          </w:p>
          <w:p w:rsidR="00316710" w:rsidRDefault="00316710" w:rsidP="0031671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Moć rejting agencija – dok</w:t>
            </w:r>
            <w:r w:rsidRPr="00316710">
              <w:rPr>
                <w:rFonts w:ascii="Arial" w:hAnsi="Arial" w:cs="Arial"/>
                <w:color w:val="FF0000"/>
                <w:sz w:val="20"/>
                <w:szCs w:val="20"/>
              </w:rPr>
              <w:t>umentarni film</w:t>
            </w:r>
          </w:p>
          <w:p w:rsidR="00316710" w:rsidRPr="00316710" w:rsidRDefault="00316710" w:rsidP="0031671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31671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Financial statistics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(www.imf.org)</w:t>
            </w:r>
          </w:p>
          <w:p w:rsidR="00316710" w:rsidRDefault="00316710" w:rsidP="0031671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31671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World Economic Outlook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(</w:t>
            </w:r>
            <w:hyperlink r:id="rId7" w:history="1">
              <w:r w:rsidRPr="00DE6382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www.imf.org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)</w:t>
            </w:r>
          </w:p>
          <w:p w:rsidR="00316710" w:rsidRPr="00316710" w:rsidRDefault="00316710" w:rsidP="0031671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Eurostat</w:t>
            </w:r>
            <w:r>
              <w:t xml:space="preserve"> (</w:t>
            </w:r>
            <w:hyperlink r:id="rId8" w:history="1">
              <w:r w:rsidRPr="00DE6382">
                <w:rPr>
                  <w:rStyle w:val="Hyperlink"/>
                  <w:rFonts w:ascii="Arial" w:hAnsi="Arial" w:cs="Arial"/>
                  <w:sz w:val="20"/>
                  <w:szCs w:val="20"/>
                  <w:lang w:val="en-GB"/>
                </w:rPr>
                <w:t>http://ec.europa.eu/eurostat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)</w:t>
            </w:r>
          </w:p>
        </w:tc>
      </w:tr>
      <w:tr w:rsidR="00316710" w:rsidRPr="00A13323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6710" w:rsidRPr="00A13323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6710" w:rsidRPr="00A13323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316710" w:rsidRPr="00A13323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316710" w:rsidRPr="00A13323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316710" w:rsidRPr="00A13323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16710" w:rsidRPr="00A13323" w:rsidRDefault="00316710" w:rsidP="004B6F2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16710" w:rsidRPr="00A13323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16710" w:rsidRPr="00A13323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16710" w:rsidRPr="00A13323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6710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16710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6710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6710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6710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16710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424F1" w:rsidRDefault="001424F1"/>
    <w:p w:rsidR="009F1BD6" w:rsidRDefault="009F1BD6"/>
    <w:sectPr w:rsidR="009F1BD6" w:rsidSect="00142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0DF" w:rsidRDefault="008950DF" w:rsidP="004B6F22">
      <w:pPr>
        <w:spacing w:after="0" w:line="240" w:lineRule="auto"/>
      </w:pPr>
      <w:r>
        <w:separator/>
      </w:r>
    </w:p>
  </w:endnote>
  <w:endnote w:type="continuationSeparator" w:id="0">
    <w:p w:rsidR="008950DF" w:rsidRDefault="008950DF" w:rsidP="004B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0DF" w:rsidRDefault="008950DF" w:rsidP="004B6F22">
      <w:pPr>
        <w:spacing w:after="0" w:line="240" w:lineRule="auto"/>
      </w:pPr>
      <w:r>
        <w:separator/>
      </w:r>
    </w:p>
  </w:footnote>
  <w:footnote w:type="continuationSeparator" w:id="0">
    <w:p w:rsidR="008950DF" w:rsidRDefault="008950DF" w:rsidP="004B6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0C7C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7F24BE"/>
    <w:multiLevelType w:val="hybridMultilevel"/>
    <w:tmpl w:val="9072F73E"/>
    <w:lvl w:ilvl="0" w:tplc="901647D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6F22"/>
    <w:rsid w:val="000B0E9B"/>
    <w:rsid w:val="000B7540"/>
    <w:rsid w:val="000C1BB6"/>
    <w:rsid w:val="000C73C4"/>
    <w:rsid w:val="000D1C5E"/>
    <w:rsid w:val="000D35FC"/>
    <w:rsid w:val="000F3634"/>
    <w:rsid w:val="001424F1"/>
    <w:rsid w:val="00145D4A"/>
    <w:rsid w:val="001B57C3"/>
    <w:rsid w:val="00211469"/>
    <w:rsid w:val="00232F03"/>
    <w:rsid w:val="00255E84"/>
    <w:rsid w:val="002700D1"/>
    <w:rsid w:val="002757C9"/>
    <w:rsid w:val="00303C63"/>
    <w:rsid w:val="00316710"/>
    <w:rsid w:val="00326F95"/>
    <w:rsid w:val="00337973"/>
    <w:rsid w:val="003518DB"/>
    <w:rsid w:val="00394A09"/>
    <w:rsid w:val="003C4D32"/>
    <w:rsid w:val="00427322"/>
    <w:rsid w:val="00434C07"/>
    <w:rsid w:val="0044215E"/>
    <w:rsid w:val="004A0AAC"/>
    <w:rsid w:val="004B6F22"/>
    <w:rsid w:val="004E3B01"/>
    <w:rsid w:val="004F6EF0"/>
    <w:rsid w:val="00517891"/>
    <w:rsid w:val="00542EE6"/>
    <w:rsid w:val="00662541"/>
    <w:rsid w:val="00673F5A"/>
    <w:rsid w:val="006E740B"/>
    <w:rsid w:val="007369B2"/>
    <w:rsid w:val="00787EF3"/>
    <w:rsid w:val="007C7C32"/>
    <w:rsid w:val="0081205F"/>
    <w:rsid w:val="00842E9B"/>
    <w:rsid w:val="008550EF"/>
    <w:rsid w:val="008950DF"/>
    <w:rsid w:val="008A1610"/>
    <w:rsid w:val="008F6E4B"/>
    <w:rsid w:val="0092591C"/>
    <w:rsid w:val="00956AA4"/>
    <w:rsid w:val="009B2253"/>
    <w:rsid w:val="009E1B5F"/>
    <w:rsid w:val="009F1BD6"/>
    <w:rsid w:val="009F4A6B"/>
    <w:rsid w:val="00A80C2B"/>
    <w:rsid w:val="00A922E8"/>
    <w:rsid w:val="00AD39BE"/>
    <w:rsid w:val="00B84B4C"/>
    <w:rsid w:val="00BA7524"/>
    <w:rsid w:val="00BF21D2"/>
    <w:rsid w:val="00C3297B"/>
    <w:rsid w:val="00C50108"/>
    <w:rsid w:val="00C7418F"/>
    <w:rsid w:val="00C76876"/>
    <w:rsid w:val="00C954D8"/>
    <w:rsid w:val="00CA4D1C"/>
    <w:rsid w:val="00D41841"/>
    <w:rsid w:val="00DC7089"/>
    <w:rsid w:val="00F26769"/>
    <w:rsid w:val="00F6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F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F22"/>
    <w:pPr>
      <w:ind w:left="720"/>
      <w:contextualSpacing/>
    </w:pPr>
  </w:style>
  <w:style w:type="paragraph" w:customStyle="1" w:styleId="FieldText">
    <w:name w:val="Field Text"/>
    <w:basedOn w:val="Normal"/>
    <w:rsid w:val="004B6F2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4B6F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6F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6F2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1671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9F1BD6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F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F22"/>
    <w:pPr>
      <w:ind w:left="720"/>
      <w:contextualSpacing/>
    </w:pPr>
  </w:style>
  <w:style w:type="paragraph" w:customStyle="1" w:styleId="FieldText">
    <w:name w:val="Field Text"/>
    <w:basedOn w:val="Normal"/>
    <w:rsid w:val="004B6F2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4B6F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6F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6F2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1671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9F1BD6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sta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mf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2018-05-29T09:10:00Z</cp:lastPrinted>
  <dcterms:created xsi:type="dcterms:W3CDTF">2018-06-07T09:34:00Z</dcterms:created>
  <dcterms:modified xsi:type="dcterms:W3CDTF">2018-06-07T09:59:00Z</dcterms:modified>
</cp:coreProperties>
</file>